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C0AA" w14:textId="02EB45B8" w:rsidR="00EA69B1" w:rsidRPr="00B018EA" w:rsidRDefault="00EA69B1" w:rsidP="00C42B9D">
      <w:pPr>
        <w:jc w:val="both"/>
        <w:rPr>
          <w:b/>
          <w:bCs/>
        </w:rPr>
      </w:pPr>
      <w:r w:rsidRPr="00B018EA">
        <w:rPr>
          <w:b/>
          <w:bCs/>
        </w:rPr>
        <w:t>OTSUSE EELNÕU</w:t>
      </w:r>
    </w:p>
    <w:p w14:paraId="3A2E65D1" w14:textId="37A0A5F4" w:rsidR="00753609" w:rsidRDefault="00F531E8" w:rsidP="00C42B9D">
      <w:pPr>
        <w:jc w:val="both"/>
      </w:pPr>
      <w:r w:rsidRPr="00945700">
        <w:rPr>
          <w:b/>
          <w:bCs/>
        </w:rPr>
        <w:t>Miinisadama rajatiste AH1, AH2, AH3 ja AH4 ehitusloa menetluses keskkonnamõju hindamise algatamata jätmi</w:t>
      </w:r>
      <w:r>
        <w:rPr>
          <w:b/>
          <w:bCs/>
        </w:rPr>
        <w:t>n</w:t>
      </w:r>
      <w:r w:rsidRPr="00945700">
        <w:rPr>
          <w:b/>
          <w:bCs/>
        </w:rPr>
        <w:t xml:space="preserve">e </w:t>
      </w:r>
    </w:p>
    <w:p w14:paraId="3B5C2F6D" w14:textId="103CC6BB" w:rsidR="004D48C3" w:rsidRDefault="00990D0D" w:rsidP="00C42B9D">
      <w:pPr>
        <w:jc w:val="both"/>
      </w:pPr>
      <w:r>
        <w:t xml:space="preserve">Riigi Kaitseinvesteeringute Keskus (70009764) ja </w:t>
      </w:r>
      <w:r w:rsidRPr="00990D0D">
        <w:t xml:space="preserve">OÜ </w:t>
      </w:r>
      <w:proofErr w:type="spellStart"/>
      <w:r w:rsidRPr="00990D0D">
        <w:t>EstKONSULT</w:t>
      </w:r>
      <w:proofErr w:type="spellEnd"/>
      <w:r w:rsidRPr="00990D0D">
        <w:t xml:space="preserve"> (10410360)</w:t>
      </w:r>
      <w:r>
        <w:t xml:space="preserve"> esitasid 29.05.2024 Tarbijakaitse ja Tehnilise Järelevalve Ametile (edaspidi TTJA, aadress Tallinn, Kesklinna linnaosa, Endla tn 10a, e-post </w:t>
      </w:r>
      <w:hyperlink r:id="rId7" w:history="1">
        <w:r w:rsidR="00272766" w:rsidRPr="00A54FEC">
          <w:rPr>
            <w:rStyle w:val="Hperlink"/>
          </w:rPr>
          <w:t>info@ttja.ee</w:t>
        </w:r>
      </w:hyperlink>
      <w:r>
        <w:t>)</w:t>
      </w:r>
      <w:r w:rsidR="00272766">
        <w:t xml:space="preserve"> ehitisregistri kaudu ehitusloa taotlus nr </w:t>
      </w:r>
      <w:r w:rsidR="00272766" w:rsidRPr="00272766">
        <w:t>2411271/06269</w:t>
      </w:r>
      <w:r w:rsidR="00272766">
        <w:t xml:space="preserve"> Miinisadama kaide ja lainemurdja </w:t>
      </w:r>
      <w:r w:rsidR="00D96790">
        <w:t xml:space="preserve">(rajatised </w:t>
      </w:r>
      <w:r w:rsidR="00D96790" w:rsidRPr="00D96790">
        <w:t>AH1, AH2, AH3 ja AH4</w:t>
      </w:r>
      <w:r w:rsidR="00D96790">
        <w:t>)</w:t>
      </w:r>
      <w:r w:rsidR="00D96790" w:rsidRPr="00D96790">
        <w:t xml:space="preserve"> </w:t>
      </w:r>
      <w:r w:rsidR="00272766">
        <w:t xml:space="preserve">rekonstrueerimiseks Harju maakonnas Tallinna linnas Põhja-Tallinna linnaosas </w:t>
      </w:r>
      <w:r w:rsidR="00272766" w:rsidRPr="00272766">
        <w:t>Miinisadama tn 3</w:t>
      </w:r>
      <w:r w:rsidR="00272766">
        <w:t xml:space="preserve"> kinnistul (katastriüksus </w:t>
      </w:r>
      <w:r w:rsidRPr="00990D0D">
        <w:t>78401:101:5683</w:t>
      </w:r>
      <w:r>
        <w:t xml:space="preserve">) ja </w:t>
      </w:r>
      <w:r w:rsidRPr="00990D0D">
        <w:t>avaliku</w:t>
      </w:r>
      <w:r w:rsidR="00D96790">
        <w:t>s</w:t>
      </w:r>
      <w:r w:rsidRPr="00990D0D">
        <w:t xml:space="preserve"> veekogu</w:t>
      </w:r>
      <w:r>
        <w:t xml:space="preserve">s. Koos ehitusloa taotlusega esitati </w:t>
      </w:r>
      <w:r w:rsidRPr="00990D0D">
        <w:t xml:space="preserve">OÜ </w:t>
      </w:r>
      <w:proofErr w:type="spellStart"/>
      <w:r w:rsidRPr="00990D0D">
        <w:t>EstKONSULT</w:t>
      </w:r>
      <w:proofErr w:type="spellEnd"/>
      <w:r w:rsidRPr="00990D0D">
        <w:t xml:space="preserve"> (10410360) </w:t>
      </w:r>
      <w:r>
        <w:t xml:space="preserve">poolt koostatud ehitusprojekt </w:t>
      </w:r>
      <w:r w:rsidRPr="00990D0D">
        <w:t>"Miinisadama rajatiste AH1, AH2, AH3 ja AH4 ehitusprojekt</w:t>
      </w:r>
      <w:r>
        <w:t>“</w:t>
      </w:r>
      <w:r w:rsidRPr="00990D0D">
        <w:t xml:space="preserve"> Töö nr 24-001</w:t>
      </w:r>
      <w:r w:rsidR="004D48C3">
        <w:t xml:space="preserve"> ning E</w:t>
      </w:r>
      <w:r w:rsidR="004D48C3" w:rsidRPr="004D48C3">
        <w:t xml:space="preserve">stonian, </w:t>
      </w:r>
      <w:proofErr w:type="spellStart"/>
      <w:r w:rsidR="004D48C3" w:rsidRPr="004D48C3">
        <w:t>Latvian</w:t>
      </w:r>
      <w:proofErr w:type="spellEnd"/>
      <w:r w:rsidR="004D48C3" w:rsidRPr="004D48C3">
        <w:t xml:space="preserve"> &amp; </w:t>
      </w:r>
      <w:proofErr w:type="spellStart"/>
      <w:r w:rsidR="004D48C3" w:rsidRPr="004D48C3">
        <w:t>Lithuanian</w:t>
      </w:r>
      <w:proofErr w:type="spellEnd"/>
      <w:r w:rsidR="004D48C3" w:rsidRPr="004D48C3">
        <w:t xml:space="preserve"> </w:t>
      </w:r>
      <w:proofErr w:type="spellStart"/>
      <w:r w:rsidR="004D48C3" w:rsidRPr="004D48C3">
        <w:t>Environment</w:t>
      </w:r>
      <w:proofErr w:type="spellEnd"/>
      <w:r w:rsidR="004D48C3" w:rsidRPr="004D48C3">
        <w:t xml:space="preserve"> OÜ (10705517</w:t>
      </w:r>
      <w:r w:rsidR="004D48C3">
        <w:t xml:space="preserve">, </w:t>
      </w:r>
      <w:r w:rsidR="004D48C3" w:rsidRPr="004D48C3">
        <w:t>Toomas Pallo, KMH litsents nr KMH0090</w:t>
      </w:r>
      <w:r>
        <w:t>) poolt koostatud „</w:t>
      </w:r>
      <w:r w:rsidR="004D48C3" w:rsidRPr="004D48C3">
        <w:t xml:space="preserve">Miinisadama akvatooriumis asuvate lainemurdjate rekonstrueerimise tegevustele keskkonnamõju hindamise eelhindamine" </w:t>
      </w:r>
      <w:r w:rsidR="004D48C3">
        <w:t>t</w:t>
      </w:r>
      <w:r w:rsidR="004D48C3" w:rsidRPr="004D48C3">
        <w:t>öö nr 24KK12</w:t>
      </w:r>
      <w:r>
        <w:t>. TTJA kontrolli</w:t>
      </w:r>
      <w:r w:rsidR="00753609">
        <w:t>s</w:t>
      </w:r>
      <w:r>
        <w:t xml:space="preserve"> </w:t>
      </w:r>
      <w:r w:rsidR="00753609">
        <w:t xml:space="preserve">üle </w:t>
      </w:r>
      <w:r>
        <w:t xml:space="preserve">eelhinnangu sisu </w:t>
      </w:r>
      <w:r w:rsidR="00753609">
        <w:t xml:space="preserve">ja </w:t>
      </w:r>
      <w:r>
        <w:t>järeldus</w:t>
      </w:r>
      <w:r w:rsidR="00753609">
        <w:t>ed</w:t>
      </w:r>
      <w:r>
        <w:t xml:space="preserve"> ning </w:t>
      </w:r>
      <w:r w:rsidR="00753609">
        <w:t>on seisukohal</w:t>
      </w:r>
      <w:r>
        <w:t>, et see vastab keskkonnaministri 16.08.2017 määruse</w:t>
      </w:r>
      <w:r w:rsidR="00753609">
        <w:t>s</w:t>
      </w:r>
      <w:r>
        <w:t xml:space="preserve"> nr 31 „Eelhinnangu sisu täpsustatud nõuded“</w:t>
      </w:r>
      <w:r w:rsidR="00753609">
        <w:t xml:space="preserve"> esitatud nõuetele</w:t>
      </w:r>
      <w:r>
        <w:t xml:space="preserve"> ning seetõttu </w:t>
      </w:r>
      <w:r w:rsidR="00EA69B1">
        <w:t>k</w:t>
      </w:r>
      <w:r w:rsidR="00753609">
        <w:t xml:space="preserve">asutab seda eelhinnangut ehitusloa menetluses. </w:t>
      </w:r>
    </w:p>
    <w:p w14:paraId="794D4DEF" w14:textId="7C3FC64E" w:rsidR="00287203" w:rsidRDefault="004D48C3" w:rsidP="00C42B9D">
      <w:pPr>
        <w:jc w:val="both"/>
      </w:pPr>
      <w:r w:rsidRPr="004D48C3">
        <w:t>Kavandatava tegevuse eesmärk on lõpuni viia Miinisadama rekonstrueerimine vastavalt kaasaja ohutu laevaliikluse nõuetele – peatada olemasolevate lainemurdjate edasine lagunemine ning tagada laevade ohutu seismine sadamas, liiklemine akvatooriumis ja väravas.</w:t>
      </w:r>
      <w:r w:rsidR="00287203">
        <w:t xml:space="preserve"> Miinisadama lainemurdjate rekonstrueerimi</w:t>
      </w:r>
      <w:r w:rsidR="001F63B8">
        <w:t>ne</w:t>
      </w:r>
      <w:r w:rsidR="00287203">
        <w:t xml:space="preserve"> hõlmab endas järgmisi tegevusi (mitteajalises järjestuses):</w:t>
      </w:r>
    </w:p>
    <w:p w14:paraId="25B3CAED" w14:textId="67482227" w:rsidR="00287203" w:rsidRDefault="00287203" w:rsidP="00C42B9D">
      <w:pPr>
        <w:pStyle w:val="Loendilik"/>
        <w:numPr>
          <w:ilvl w:val="0"/>
          <w:numId w:val="2"/>
        </w:numPr>
        <w:jc w:val="both"/>
      </w:pPr>
      <w:r>
        <w:t>Kai 7 pikendamine keskmise lainemurdja lõpuni (tekib uus kai 7A) ja läänevärava sulgemine.</w:t>
      </w:r>
    </w:p>
    <w:p w14:paraId="7D7CBEBC" w14:textId="410C3090" w:rsidR="00287203" w:rsidRDefault="00287203" w:rsidP="00C42B9D">
      <w:pPr>
        <w:pStyle w:val="Loendilik"/>
        <w:numPr>
          <w:ilvl w:val="0"/>
          <w:numId w:val="2"/>
        </w:numPr>
        <w:jc w:val="both"/>
      </w:pPr>
      <w:r>
        <w:t>Kaide 7 ja 7A Tallinna lahe poolse nõlva väljaehitamine lainemurdjaks.</w:t>
      </w:r>
    </w:p>
    <w:p w14:paraId="35AE2DEE" w14:textId="2740B746" w:rsidR="00287203" w:rsidRDefault="00287203" w:rsidP="00C42B9D">
      <w:pPr>
        <w:pStyle w:val="Loendilik"/>
        <w:numPr>
          <w:ilvl w:val="0"/>
          <w:numId w:val="2"/>
        </w:numPr>
        <w:jc w:val="both"/>
      </w:pPr>
      <w:r>
        <w:t xml:space="preserve">Kaide 7 ja 7A akvatooriumi poolse külje rajamine sulundseina elementidest ja sulundseina taguse täitmine. KMH koostati projektlahendusele, mille järgi kavandati kaide 7 ja 7A akvatooriumi poolse külje ehitusel kasutada raudbetoonist „L-elemente“. Tänaseks on valminud uus projektlahendus, kus see on asendatud sulundseina elementidega. Sulundseina toestuseks kinnitatakse see merepõhja </w:t>
      </w:r>
      <w:proofErr w:type="spellStart"/>
      <w:r>
        <w:t>injekteeritavate</w:t>
      </w:r>
      <w:proofErr w:type="spellEnd"/>
      <w:r>
        <w:t xml:space="preserve"> ankrutega. Eelhinnangu koostamisel on kasutatud uue lahenduse eskiislahendust koos vajalike mahuarvutustega.</w:t>
      </w:r>
    </w:p>
    <w:p w14:paraId="7624D235" w14:textId="14E0536B" w:rsidR="00287203" w:rsidRDefault="00287203" w:rsidP="00C42B9D">
      <w:pPr>
        <w:pStyle w:val="Loendilik"/>
        <w:numPr>
          <w:ilvl w:val="0"/>
          <w:numId w:val="2"/>
        </w:numPr>
        <w:jc w:val="both"/>
      </w:pPr>
      <w:r>
        <w:t>Parempoolse lainemurdja rekonstrueerimine, mille Tallinna lahe poolne nõlv ehitatakse sarnaselt kaide 7 ja 7A puhul lainemurdjaks ning akvatooriumi poolse nõlva väljaehitamine.</w:t>
      </w:r>
    </w:p>
    <w:p w14:paraId="7DA137C8" w14:textId="5E57F5B0" w:rsidR="00287203" w:rsidRDefault="00287203" w:rsidP="00C42B9D">
      <w:pPr>
        <w:pStyle w:val="Loendilik"/>
        <w:numPr>
          <w:ilvl w:val="0"/>
          <w:numId w:val="2"/>
        </w:numPr>
        <w:jc w:val="both"/>
      </w:pPr>
      <w:r>
        <w:t>Idavärava suurendamine laiusega 70 m ja sügavusega 8,0 m.</w:t>
      </w:r>
    </w:p>
    <w:p w14:paraId="2CE5EFAA" w14:textId="52657E82" w:rsidR="00287203" w:rsidRDefault="00287203" w:rsidP="00C42B9D">
      <w:pPr>
        <w:pStyle w:val="Loendilik"/>
        <w:numPr>
          <w:ilvl w:val="0"/>
          <w:numId w:val="2"/>
        </w:numPr>
        <w:jc w:val="both"/>
      </w:pPr>
      <w:r>
        <w:t>Vajaliku sügavusega (8,0 m) laevatee (380x50 m) süvendamine.</w:t>
      </w:r>
    </w:p>
    <w:p w14:paraId="0323ECAC" w14:textId="32963E43" w:rsidR="00990D0D" w:rsidRDefault="00287203" w:rsidP="00C42B9D">
      <w:pPr>
        <w:pStyle w:val="Loendilik"/>
        <w:numPr>
          <w:ilvl w:val="0"/>
          <w:numId w:val="2"/>
        </w:numPr>
        <w:jc w:val="both"/>
      </w:pPr>
      <w:r>
        <w:t xml:space="preserve">Kogu mahus süvendatud pinnase </w:t>
      </w:r>
      <w:proofErr w:type="spellStart"/>
      <w:r>
        <w:t>kaadamine</w:t>
      </w:r>
      <w:proofErr w:type="spellEnd"/>
      <w:r w:rsidR="00B018EA">
        <w:t xml:space="preserve"> (</w:t>
      </w:r>
      <w:r w:rsidR="00B018EA" w:rsidRPr="00104A5C">
        <w:rPr>
          <w:lang w:eastAsia="x-none"/>
        </w:rPr>
        <w:t>35 200 m</w:t>
      </w:r>
      <w:r w:rsidR="00B018EA">
        <w:rPr>
          <w:rFonts w:cstheme="minorHAnsi"/>
          <w:lang w:eastAsia="x-none"/>
        </w:rPr>
        <w:t>³</w:t>
      </w:r>
      <w:r w:rsidR="00B018EA">
        <w:rPr>
          <w:lang w:eastAsia="x-none"/>
        </w:rPr>
        <w:t>)</w:t>
      </w:r>
      <w:r>
        <w:t>.</w:t>
      </w:r>
    </w:p>
    <w:p w14:paraId="014AB0B9" w14:textId="77777777" w:rsidR="00BD231A" w:rsidRDefault="00990D0D" w:rsidP="00C42B9D">
      <w:pPr>
        <w:jc w:val="both"/>
      </w:pPr>
      <w:r>
        <w:t>Keskkonnamõju hindamise ja keskkonnajuhtimissüsteemi seaduse (</w:t>
      </w:r>
      <w:proofErr w:type="spellStart"/>
      <w:r>
        <w:t>KeHJS</w:t>
      </w:r>
      <w:proofErr w:type="spellEnd"/>
      <w:r>
        <w:t xml:space="preserve">) § 3 lõike 1 punkti 1 kohaselt tuleb hinnata keskkonnamõju, kui taotletakse tegevusluba või selle muutmist ning tegevusloa taotlemise või muutmise põhjuseks olev kavandatav tegevus toob eeldatavalt kaasa olulise keskkonnamõju. KMH algatamise vajalikkust ehitusloa menetluses kaalutakse tulenevalt </w:t>
      </w:r>
      <w:proofErr w:type="spellStart"/>
      <w:r>
        <w:t>KeHJS</w:t>
      </w:r>
      <w:proofErr w:type="spellEnd"/>
      <w:r>
        <w:t xml:space="preserve"> § 6 lõike </w:t>
      </w:r>
      <w:r w:rsidR="00BD231A">
        <w:t>1</w:t>
      </w:r>
      <w:r>
        <w:t xml:space="preserve"> punkti</w:t>
      </w:r>
      <w:r w:rsidR="00BD231A">
        <w:t>de</w:t>
      </w:r>
      <w:r>
        <w:t xml:space="preserve">st </w:t>
      </w:r>
      <w:r w:rsidR="00BD231A" w:rsidRPr="00BD231A">
        <w:t>17</w:t>
      </w:r>
      <w:r w:rsidR="00BD231A">
        <w:t xml:space="preserve"> </w:t>
      </w:r>
      <w:r>
        <w:t>(</w:t>
      </w:r>
      <w:r w:rsidR="00BD231A" w:rsidRPr="00BD231A">
        <w:t>mere ning Peipsi järve, Lämmijärve ja Pihkva järve süvendamine alates pinnase mahust 10 000 kuupmeetrit või muu veekogu süvendamine alates pinnase mahust 500 kuupmeetrit</w:t>
      </w:r>
      <w:r>
        <w:t>)</w:t>
      </w:r>
      <w:r w:rsidR="00BD231A">
        <w:t xml:space="preserve"> ja </w:t>
      </w:r>
      <w:r w:rsidR="00BD231A" w:rsidRPr="00C42B9D">
        <w:t>17</w:t>
      </w:r>
      <w:r w:rsidR="00BD231A" w:rsidRPr="00C42B9D">
        <w:rPr>
          <w:rFonts w:cstheme="minorHAnsi"/>
        </w:rPr>
        <w:t>¹</w:t>
      </w:r>
      <w:r w:rsidR="00BD231A" w:rsidRPr="00C42B9D">
        <w:t xml:space="preserve"> (merepõhja ning Peipsi järve, Lämmijärve ja Pihkva järve tahkete ainete uputamine alates ainete mahust 10 000 kuupmeetrit, vooluveekogusse tahkete ainete uputamine alates ainete mahust 2000 kuupmeetrit või muusse veekogusse tahkete ainete uputamine alates ainete mahust 500 kuupmeetrit)</w:t>
      </w:r>
      <w:r w:rsidRPr="00C42B9D">
        <w:t xml:space="preserve">. </w:t>
      </w:r>
    </w:p>
    <w:p w14:paraId="42E97554" w14:textId="7ABA77F5" w:rsidR="00BD231A" w:rsidRDefault="00294C8A" w:rsidP="00C42B9D">
      <w:pPr>
        <w:jc w:val="both"/>
      </w:pPr>
      <w:r>
        <w:t xml:space="preserve">Eelnevalt on </w:t>
      </w:r>
      <w:r w:rsidR="00287203" w:rsidRPr="00287203">
        <w:t>OÜ E-Konsult</w:t>
      </w:r>
      <w:r w:rsidR="00287203">
        <w:t xml:space="preserve"> </w:t>
      </w:r>
      <w:r w:rsidR="00287203" w:rsidRPr="00287203">
        <w:t xml:space="preserve"> </w:t>
      </w:r>
      <w:r w:rsidR="00287203">
        <w:t xml:space="preserve">poolt 2007. aastal </w:t>
      </w:r>
      <w:r w:rsidR="00BD231A" w:rsidRPr="00BD231A">
        <w:t xml:space="preserve"> läbi viidud kavandatava tegevuse</w:t>
      </w:r>
      <w:r w:rsidR="00287203">
        <w:t xml:space="preserve"> keskkonnamõjude hindamine (KMH) „</w:t>
      </w:r>
      <w:r w:rsidR="00287203" w:rsidRPr="00287203">
        <w:t xml:space="preserve">Miinisadama </w:t>
      </w:r>
      <w:r w:rsidR="00287203">
        <w:t>akvatooriumis asuvate lainemurdjate rekonstrueerimisprojekti keskkonnamõju hindamine“</w:t>
      </w:r>
      <w:r w:rsidR="00287203" w:rsidRPr="00287203">
        <w:t xml:space="preserve"> töö nr E1040</w:t>
      </w:r>
      <w:r w:rsidR="00287203">
        <w:t xml:space="preserve"> </w:t>
      </w:r>
      <w:r w:rsidR="00BD231A" w:rsidRPr="00BD231A">
        <w:t xml:space="preserve">(heaks kiidetud Keskkonnaministeeriumi 28.03.2007 kirjaga </w:t>
      </w:r>
      <w:r w:rsidR="00BD231A" w:rsidRPr="00BD231A">
        <w:lastRenderedPageBreak/>
        <w:t xml:space="preserve">nr 13-3-3/2108-19). </w:t>
      </w:r>
      <w:proofErr w:type="spellStart"/>
      <w:r w:rsidR="00BD231A" w:rsidRPr="00BD231A">
        <w:t>KeHJS</w:t>
      </w:r>
      <w:proofErr w:type="spellEnd"/>
      <w:r w:rsidR="00BD231A" w:rsidRPr="00BD231A">
        <w:t xml:space="preserve"> § 11 lg 6 kohaselt jätab otsustaja keskkonnamõju hindamise algatamata, kui kavandatava tegevusega kaasneb eeldatavalt oluline keskkonnamõju, kuid kui eelhinnangust selgub, et kavandatava tegevuse keskkonnamõju on juba keskkonnamõju hindamise või keskkonnamõju strateegilise hindamise käigus asjakohaselt hinnatud ja otsustajal on tegevusloa andmiseks piisavalt teavet.</w:t>
      </w:r>
      <w:r w:rsidR="00BD231A">
        <w:t xml:space="preserve"> </w:t>
      </w:r>
      <w:r w:rsidR="00990D0D">
        <w:t xml:space="preserve">Seega </w:t>
      </w:r>
      <w:r w:rsidR="00D66755">
        <w:t xml:space="preserve">koostati </w:t>
      </w:r>
      <w:r w:rsidR="00990D0D">
        <w:t>eelhinnang</w:t>
      </w:r>
      <w:r w:rsidR="00BD231A">
        <w:t xml:space="preserve">, et hinnata, kas </w:t>
      </w:r>
      <w:r w:rsidR="00BD231A" w:rsidRPr="00BD231A">
        <w:t xml:space="preserve">kavandatava tegevuse keskkonnamõju on juba </w:t>
      </w:r>
      <w:r w:rsidR="00BD231A">
        <w:t xml:space="preserve">2007. aastal </w:t>
      </w:r>
      <w:r w:rsidR="00D66755">
        <w:t xml:space="preserve">läbiviidud </w:t>
      </w:r>
      <w:r w:rsidR="00BD231A" w:rsidRPr="00BD231A">
        <w:t xml:space="preserve">keskkonnamõju </w:t>
      </w:r>
      <w:r w:rsidR="00BD231A">
        <w:t xml:space="preserve">hindamise </w:t>
      </w:r>
      <w:r w:rsidR="00BD231A" w:rsidRPr="00BD231A">
        <w:t>käigus asjakohaselt hinnatud ja otsustajal on tegevusloa andmiseks piisavalt teavet.</w:t>
      </w:r>
    </w:p>
    <w:p w14:paraId="35CC1F86" w14:textId="77777777" w:rsidR="0043661B" w:rsidRDefault="0043661B" w:rsidP="00C42B9D">
      <w:pPr>
        <w:jc w:val="both"/>
      </w:pPr>
      <w:proofErr w:type="spellStart"/>
      <w:r>
        <w:t>KeHJS</w:t>
      </w:r>
      <w:proofErr w:type="spellEnd"/>
      <w:r>
        <w:t xml:space="preserve"> § 9 kohaselt on otsustaja tegevusloa andja. Tulenevalt ehitusseadustiku § 118 lõikest 2 annab ehitusloa TTJA, seega on TTJA otsustajaks </w:t>
      </w:r>
      <w:proofErr w:type="spellStart"/>
      <w:r>
        <w:t>KeHJS</w:t>
      </w:r>
      <w:proofErr w:type="spellEnd"/>
      <w:r>
        <w:t xml:space="preserve"> tähenduses. </w:t>
      </w:r>
      <w:proofErr w:type="spellStart"/>
      <w:r>
        <w:t>KeHJS</w:t>
      </w:r>
      <w:proofErr w:type="spellEnd"/>
      <w:r>
        <w:t xml:space="preserve"> § 11 lõike 2² kohaselt peab otsustaja enne </w:t>
      </w:r>
      <w:proofErr w:type="spellStart"/>
      <w:r>
        <w:t>KeHJS</w:t>
      </w:r>
      <w:proofErr w:type="spellEnd"/>
      <w:r>
        <w:t xml:space="preserve"> § 6 lõikes 2 nimetatud valdkondade tegevuse keskkonnamõju hindamise vajalikkuse üle otsustamist küsima seisukohta kõigilt asjaomastelt asutustelt, esitades neile seisukoha võtmiseks eelhinnangu ning keskkonnamõju hindamise algatamise või algatamata jätmise otsuse eelnõu.</w:t>
      </w:r>
    </w:p>
    <w:p w14:paraId="789CED11" w14:textId="3DC7D1E5" w:rsidR="00990D0D" w:rsidRDefault="00990D0D" w:rsidP="00C42B9D">
      <w:pPr>
        <w:jc w:val="both"/>
      </w:pPr>
      <w:r>
        <w:t xml:space="preserve">Tulenevalt </w:t>
      </w:r>
      <w:proofErr w:type="spellStart"/>
      <w:r>
        <w:t>KeHJS</w:t>
      </w:r>
      <w:proofErr w:type="spellEnd"/>
      <w:r>
        <w:t xml:space="preserve"> § 11 lõike</w:t>
      </w:r>
      <w:r w:rsidR="007B162C">
        <w:t>st</w:t>
      </w:r>
      <w:r>
        <w:t xml:space="preserve"> 2² ja lõike</w:t>
      </w:r>
      <w:r w:rsidR="007B162C">
        <w:t>st</w:t>
      </w:r>
      <w:r>
        <w:t xml:space="preserve"> 10 edastas TTJA </w:t>
      </w:r>
      <w:r w:rsidR="007B162C" w:rsidRPr="00CC5F95">
        <w:rPr>
          <w:color w:val="FF0000"/>
        </w:rPr>
        <w:t>xx</w:t>
      </w:r>
      <w:r w:rsidR="007B162C">
        <w:t>.06</w:t>
      </w:r>
      <w:r>
        <w:t xml:space="preserve">.2024 kirjaga nr </w:t>
      </w:r>
      <w:r w:rsidR="007B162C" w:rsidRPr="00CC5F95">
        <w:rPr>
          <w:color w:val="FF0000"/>
        </w:rPr>
        <w:t>xxx</w:t>
      </w:r>
      <w:r>
        <w:t xml:space="preserve"> asjaomastele asutustele arvamuse avaldamiseks ja kooskõlastamiseks eelhinnangu ning keskkonnamõju hindamise algatamata jätmise otsuse eelnõu. Vastuskirjad laekusid </w:t>
      </w:r>
      <w:r w:rsidR="007B162C" w:rsidRPr="00CC5F95">
        <w:rPr>
          <w:color w:val="FF0000"/>
        </w:rPr>
        <w:t>xxx</w:t>
      </w:r>
      <w:r>
        <w:t xml:space="preserve">. </w:t>
      </w:r>
    </w:p>
    <w:p w14:paraId="2EAFAA28" w14:textId="10EF7A2C" w:rsidR="00E65241" w:rsidRDefault="00990D0D" w:rsidP="00C42B9D">
      <w:pPr>
        <w:jc w:val="both"/>
      </w:pPr>
      <w:r>
        <w:t>TTJA tugineb KMH algatamata jätmise otsuse tegemisel keskkonnamõju hindamise eelhinnangule</w:t>
      </w:r>
      <w:r w:rsidR="007B162C">
        <w:t xml:space="preserve">, </w:t>
      </w:r>
      <w:r w:rsidR="0043661B">
        <w:t xml:space="preserve">2007. aastal koostatud </w:t>
      </w:r>
      <w:r w:rsidR="007B162C">
        <w:t>kesk</w:t>
      </w:r>
      <w:r w:rsidR="0043661B">
        <w:t>k</w:t>
      </w:r>
      <w:r w:rsidR="007B162C">
        <w:t>onnamõjude hindamise aruandele</w:t>
      </w:r>
      <w:r>
        <w:t xml:space="preserve"> ja </w:t>
      </w:r>
      <w:r w:rsidR="007B162C">
        <w:t xml:space="preserve">nendes </w:t>
      </w:r>
      <w:r>
        <w:t>toodud järeldustele ning asjaomaste asutuste seisukohtadele.</w:t>
      </w:r>
      <w:r w:rsidR="00EB28AD">
        <w:t xml:space="preserve"> </w:t>
      </w:r>
      <w:r>
        <w:t>Keskkonnamõju eelhindamise tulemusena leiti, et keskkonnamõju hindamise algatamine ei ole vajalik</w:t>
      </w:r>
      <w:r w:rsidR="00EB28AD">
        <w:t>, sest</w:t>
      </w:r>
      <w:r w:rsidR="00EB28AD" w:rsidRPr="00EB28AD">
        <w:t xml:space="preserve"> 2007. aastal koostatud KMH on piisavalt informatiivne ja</w:t>
      </w:r>
      <w:r w:rsidR="00EB28AD">
        <w:t xml:space="preserve"> </w:t>
      </w:r>
      <w:r w:rsidR="00EB28AD" w:rsidRPr="00EB28AD">
        <w:t>eelhinnangu koostamise ajal asjakohane.</w:t>
      </w:r>
      <w:r>
        <w:t xml:space="preserve"> </w:t>
      </w:r>
      <w:r w:rsidR="00EE1D3D">
        <w:t xml:space="preserve">Miinisadama kai, lainemurdja ja ujuvakai rajamise </w:t>
      </w:r>
      <w:r w:rsidR="00F440BB" w:rsidRPr="002C4B35">
        <w:t xml:space="preserve">peamisteks negatiivseteks mõjudeks on ehitus-, süvendamis- ja </w:t>
      </w:r>
      <w:proofErr w:type="spellStart"/>
      <w:r w:rsidR="00F440BB" w:rsidRPr="002C4B35">
        <w:t>kaadamistööde</w:t>
      </w:r>
      <w:proofErr w:type="spellEnd"/>
      <w:r w:rsidR="00F440BB" w:rsidRPr="002C4B35">
        <w:t xml:space="preserve"> käigus vette paisatav heljum. </w:t>
      </w:r>
      <w:r w:rsidR="00F440BB" w:rsidRPr="00243A3F">
        <w:t>Süvendamisel tekkiv heljum ja vee erikasutustööde teostamine võib mõjutada kalu kudeperioodil ja põhjaelustikku</w:t>
      </w:r>
      <w:r w:rsidR="00F440BB">
        <w:t xml:space="preserve">. Tegemist on ajutise negatiivse mõjuga, mis lõpeb ehitustöödega. Kasutamisaegne mõju heljumi levikule puudub. </w:t>
      </w:r>
      <w:r w:rsidR="00F440BB" w:rsidRPr="00CC5F95">
        <w:t>Ehitusaegne mõju esineb pinnaveele, müra- ja vibratsioonitasemele,</w:t>
      </w:r>
      <w:r w:rsidR="00F440BB">
        <w:rPr>
          <w:u w:val="single"/>
        </w:rPr>
        <w:t xml:space="preserve"> </w:t>
      </w:r>
      <w:r w:rsidR="00F440BB">
        <w:t>õhu saastatusele</w:t>
      </w:r>
      <w:r w:rsidR="00EE1D3D" w:rsidRPr="00EE1D3D">
        <w:t xml:space="preserve"> </w:t>
      </w:r>
      <w:r w:rsidR="00EE1D3D">
        <w:t>ning nende ulatus piirneb peamiselt töömaaga</w:t>
      </w:r>
      <w:r w:rsidR="00F440BB">
        <w:t xml:space="preserve">. Kasutusaegseid negatiivseid mõjusid </w:t>
      </w:r>
      <w:r w:rsidR="00EE1D3D">
        <w:t>valdavalt</w:t>
      </w:r>
      <w:r w:rsidR="00F440BB">
        <w:t xml:space="preserve"> ei </w:t>
      </w:r>
      <w:r w:rsidR="00CC5F95">
        <w:t xml:space="preserve">esine </w:t>
      </w:r>
      <w:r w:rsidR="00F440BB">
        <w:t>ning kaide ja lainemurdjate rekonstrueerimise tulemusena on pikaajaline</w:t>
      </w:r>
      <w:r w:rsidR="00F440BB" w:rsidRPr="00DA322F">
        <w:t xml:space="preserve"> positiivne mõju Miinisadama varale ja mälestistele.</w:t>
      </w:r>
      <w:r w:rsidR="00EE1D3D" w:rsidRPr="00EE1D3D">
        <w:t xml:space="preserve"> </w:t>
      </w:r>
      <w:r w:rsidR="00EE1D3D">
        <w:t xml:space="preserve">Avariiolukordade esinemise tõenäosus on väga väike, juhul kui järgitakse korrektseid ehitusvõtteid ja head merepraktikat. </w:t>
      </w:r>
      <w:r w:rsidR="00EE1D3D" w:rsidRPr="00DA322F">
        <w:t>Tegevusega ei kaasne eeldatavalt suurõnnetuste või katastroofide tekke ohtu.</w:t>
      </w:r>
      <w:r w:rsidR="00EE1D3D">
        <w:t xml:space="preserve"> Kavandatava tegevusega ei kaasne olulisel määral soojuse, kiirguse ega lõhna teket. </w:t>
      </w:r>
      <w:r w:rsidR="00CC5F95">
        <w:t>Ehitiste rekonstrueerimine</w:t>
      </w:r>
      <w:r w:rsidR="00EE1D3D">
        <w:t xml:space="preserve"> ei kahjusta inimeste tervist, heaolu ega vara.</w:t>
      </w:r>
    </w:p>
    <w:p w14:paraId="355630EE" w14:textId="23EDCEC4" w:rsidR="00EB28AD" w:rsidRDefault="00EB28AD" w:rsidP="00C42B9D">
      <w:pPr>
        <w:jc w:val="both"/>
        <w:rPr>
          <w:u w:val="single"/>
        </w:rPr>
      </w:pPr>
      <w:r w:rsidRPr="002C4B35">
        <w:t xml:space="preserve">2007. aastal koostatud KMH-s ei hinnatud </w:t>
      </w:r>
      <w:r w:rsidR="00F440BB">
        <w:t xml:space="preserve">küll </w:t>
      </w:r>
      <w:r w:rsidRPr="002C4B35">
        <w:t xml:space="preserve">merre paigutavate tahkete materjalide mõju heljumi levikule, kuid see mõju on ehitusaegne ja ei erine oluliselt süvendus- ja </w:t>
      </w:r>
      <w:proofErr w:type="spellStart"/>
      <w:r w:rsidRPr="002C4B35">
        <w:t>kaadamistööde</w:t>
      </w:r>
      <w:proofErr w:type="spellEnd"/>
      <w:r w:rsidRPr="002C4B35">
        <w:t xml:space="preserve"> käigus levivast heljumist, mille mõjusid on 2007. aastal teostatud KMH</w:t>
      </w:r>
      <w:r w:rsidR="00F440BB">
        <w:t>-</w:t>
      </w:r>
      <w:r w:rsidRPr="002C4B35">
        <w:t>s asjakohaselt hinnatud.</w:t>
      </w:r>
      <w:r>
        <w:t xml:space="preserve"> Võrreldes </w:t>
      </w:r>
      <w:r w:rsidRPr="002C4B35">
        <w:t>2007. aastal koostatud KMH</w:t>
      </w:r>
      <w:r>
        <w:t xml:space="preserve"> aluseks oleva</w:t>
      </w:r>
      <w:r>
        <w:rPr>
          <w:lang w:eastAsia="x-none"/>
        </w:rPr>
        <w:t xml:space="preserve"> tehnilise lahendusega, on uues ehitusprojektis vähenenud süvendatava </w:t>
      </w:r>
      <w:r>
        <w:t xml:space="preserve">materjali maht ca 28,5 % </w:t>
      </w:r>
      <w:r>
        <w:rPr>
          <w:lang w:eastAsia="x-none"/>
        </w:rPr>
        <w:t xml:space="preserve">ja uputatava materjali maht ca 60,4 %. </w:t>
      </w:r>
      <w:r w:rsidRPr="00CC5F95">
        <w:rPr>
          <w:u w:val="single"/>
          <w:lang w:eastAsia="x-none"/>
        </w:rPr>
        <w:t>Seetõttu on k</w:t>
      </w:r>
      <w:r w:rsidRPr="00087F6D">
        <w:rPr>
          <w:u w:val="single"/>
        </w:rPr>
        <w:t xml:space="preserve">avandatava tegevuse </w:t>
      </w:r>
      <w:r>
        <w:rPr>
          <w:u w:val="single"/>
        </w:rPr>
        <w:t xml:space="preserve">süvendamise ja </w:t>
      </w:r>
      <w:r w:rsidRPr="00087F6D">
        <w:rPr>
          <w:u w:val="single"/>
        </w:rPr>
        <w:t>uputamise mahud väiksemad kui varasemas KMH-s hinnatud mahud.</w:t>
      </w:r>
    </w:p>
    <w:p w14:paraId="54C30B2D" w14:textId="189E849F" w:rsidR="00D52C80" w:rsidRDefault="004C145C" w:rsidP="00C42B9D">
      <w:pPr>
        <w:jc w:val="both"/>
      </w:pPr>
      <w:r w:rsidRPr="004C145C">
        <w:t xml:space="preserve">Lisaks sadamaalale on mõjutatavaks alaks ka piirkond, kuhu </w:t>
      </w:r>
      <w:proofErr w:type="spellStart"/>
      <w:r w:rsidRPr="004C145C">
        <w:t>kaadatakse</w:t>
      </w:r>
      <w:proofErr w:type="spellEnd"/>
      <w:r w:rsidRPr="004C145C">
        <w:t xml:space="preserve"> põhjast eemaldatav süvendusmaterjal. </w:t>
      </w:r>
      <w:r w:rsidR="005847A4" w:rsidRPr="004C145C">
        <w:t>Kuna kavandatav tegevus toimub väiksemas mahus</w:t>
      </w:r>
      <w:r w:rsidR="005847A4">
        <w:t>,</w:t>
      </w:r>
      <w:r w:rsidR="005847A4" w:rsidRPr="004C145C">
        <w:t xml:space="preserve"> kui KMH raames hinnatud tegevus</w:t>
      </w:r>
      <w:r w:rsidR="005847A4">
        <w:t xml:space="preserve"> </w:t>
      </w:r>
      <w:r w:rsidR="005847A4" w:rsidRPr="004C145C">
        <w:t>siis on ka settekihi paksus pinnasepuistealal väiksem (</w:t>
      </w:r>
      <w:r w:rsidR="00294C8A">
        <w:t xml:space="preserve">KMH-s </w:t>
      </w:r>
      <w:r w:rsidR="005847A4" w:rsidRPr="004C145C">
        <w:t>hinnanguliselt</w:t>
      </w:r>
      <w:r w:rsidR="00294C8A">
        <w:t xml:space="preserve"> ca 8 cm ning uue lahenduse järgi</w:t>
      </w:r>
      <w:r w:rsidR="005847A4" w:rsidRPr="004C145C">
        <w:t xml:space="preserve"> ca 5-5,5 cm).</w:t>
      </w:r>
      <w:r w:rsidR="005847A4">
        <w:t xml:space="preserve"> </w:t>
      </w:r>
      <w:r w:rsidR="005847A4" w:rsidRPr="005847A4">
        <w:t xml:space="preserve">Kavandatav </w:t>
      </w:r>
      <w:proofErr w:type="spellStart"/>
      <w:r w:rsidR="005847A4" w:rsidRPr="005847A4">
        <w:t>kaadamisala</w:t>
      </w:r>
      <w:proofErr w:type="spellEnd"/>
      <w:r w:rsidR="005847A4" w:rsidRPr="005847A4">
        <w:t xml:space="preserve"> asub Paljassaare poolsaarest läänes</w:t>
      </w:r>
      <w:r w:rsidR="005847A4">
        <w:t xml:space="preserve">. </w:t>
      </w:r>
      <w:proofErr w:type="spellStart"/>
      <w:r w:rsidR="005847A4" w:rsidRPr="005847A4">
        <w:t>Kaadamisala</w:t>
      </w:r>
      <w:proofErr w:type="spellEnd"/>
      <w:r w:rsidR="005847A4" w:rsidRPr="005847A4">
        <w:t xml:space="preserve"> on olnud pikka aega kasutusel, kuid võib tulevikus osaliselt jääda (hinnanguliselt vähem kui 1/3 </w:t>
      </w:r>
      <w:proofErr w:type="spellStart"/>
      <w:r w:rsidR="005847A4" w:rsidRPr="005847A4">
        <w:t>kaadamisalast</w:t>
      </w:r>
      <w:proofErr w:type="spellEnd"/>
      <w:r w:rsidR="005847A4" w:rsidRPr="005847A4">
        <w:t>)</w:t>
      </w:r>
      <w:r w:rsidR="005847A4">
        <w:t xml:space="preserve"> </w:t>
      </w:r>
      <w:r w:rsidR="005847A4" w:rsidRPr="005847A4">
        <w:t>laiendatava Paljassaare hoiuala alla (projekteeritav Paljassaare looduskaitseala). Kavandatava kaitseala</w:t>
      </w:r>
      <w:r w:rsidR="005847A4">
        <w:t xml:space="preserve"> </w:t>
      </w:r>
      <w:r w:rsidR="005847A4" w:rsidRPr="005847A4">
        <w:t>kaitseväärtuste osas ei ole teostatud ekspertiisi. Eeldatavasti laiendatakse hoiuala olemasolevate kaitseväärtustega ja neile ei ole mõju võrreldes eelneva KMH-</w:t>
      </w:r>
      <w:proofErr w:type="spellStart"/>
      <w:r w:rsidR="005847A4" w:rsidRPr="005847A4">
        <w:t>ga</w:t>
      </w:r>
      <w:proofErr w:type="spellEnd"/>
      <w:r w:rsidR="005847A4" w:rsidRPr="005847A4">
        <w:t xml:space="preserve"> muutunud. </w:t>
      </w:r>
      <w:r w:rsidR="005847A4" w:rsidRPr="005847A4">
        <w:lastRenderedPageBreak/>
        <w:t xml:space="preserve">Vajadusel on võimalik </w:t>
      </w:r>
      <w:proofErr w:type="spellStart"/>
      <w:r w:rsidR="005847A4" w:rsidRPr="005847A4">
        <w:t>kaadamisel</w:t>
      </w:r>
      <w:proofErr w:type="spellEnd"/>
      <w:r w:rsidR="005847A4" w:rsidRPr="005847A4">
        <w:t xml:space="preserve"> vältida kavandatavale looduskaitsealale jäävat kirdepoolset osa </w:t>
      </w:r>
      <w:proofErr w:type="spellStart"/>
      <w:r w:rsidR="005847A4" w:rsidRPr="005847A4">
        <w:t>kaadamisalast</w:t>
      </w:r>
      <w:proofErr w:type="spellEnd"/>
      <w:r w:rsidR="005847A4" w:rsidRPr="005847A4">
        <w:t>.</w:t>
      </w:r>
    </w:p>
    <w:p w14:paraId="5B918D6D" w14:textId="0F02E993" w:rsidR="00990D0D" w:rsidRDefault="00990D0D" w:rsidP="00C42B9D">
      <w:pPr>
        <w:jc w:val="both"/>
      </w:pPr>
      <w:r w:rsidRPr="00C42B9D">
        <w:rPr>
          <w:b/>
          <w:bCs/>
        </w:rPr>
        <w:t>Vajalikud keskkonnameetmed</w:t>
      </w:r>
      <w:r w:rsidR="00CC5F95" w:rsidRPr="00C42B9D">
        <w:rPr>
          <w:b/>
          <w:bCs/>
        </w:rPr>
        <w:t xml:space="preserve"> 2007. aasta</w:t>
      </w:r>
      <w:r w:rsidR="009C411B" w:rsidRPr="00C42B9D">
        <w:rPr>
          <w:b/>
          <w:bCs/>
        </w:rPr>
        <w:t xml:space="preserve"> KMH</w:t>
      </w:r>
      <w:r w:rsidR="00CC5F95" w:rsidRPr="00C42B9D">
        <w:rPr>
          <w:b/>
          <w:bCs/>
        </w:rPr>
        <w:t xml:space="preserve"> aruandest</w:t>
      </w:r>
      <w:r w:rsidR="009C411B" w:rsidRPr="00C42B9D">
        <w:rPr>
          <w:b/>
          <w:bCs/>
        </w:rPr>
        <w:t xml:space="preserve"> ja </w:t>
      </w:r>
      <w:r w:rsidR="00CC5F95" w:rsidRPr="00C42B9D">
        <w:rPr>
          <w:b/>
          <w:bCs/>
        </w:rPr>
        <w:t xml:space="preserve">KMH </w:t>
      </w:r>
      <w:r w:rsidRPr="00C42B9D">
        <w:rPr>
          <w:b/>
          <w:bCs/>
        </w:rPr>
        <w:t>eelhinnangust lähtuvalt:</w:t>
      </w:r>
    </w:p>
    <w:p w14:paraId="3EEABC7A" w14:textId="0D5F4873" w:rsidR="009C411B" w:rsidRDefault="009C411B" w:rsidP="00C42B9D">
      <w:pPr>
        <w:pStyle w:val="Loendilik"/>
        <w:numPr>
          <w:ilvl w:val="0"/>
          <w:numId w:val="3"/>
        </w:numPr>
        <w:jc w:val="both"/>
      </w:pPr>
      <w:r>
        <w:t xml:space="preserve">Vähendamaks heljumi levikut tööpiirkonnast kaugemale, tuleb töid teha võimalikult vaikse ilmaga, mis soosib heljumi kiiret settimist (kirde-, põhja- ja loode- ning lõuna- ja edelatuule korral on heljumi levik piiratud, jäädes peamiselt sadama akvatooriumi piirkonda). Tööde tegemisel on oluline jälgida heljumi liikumist (kui on näha märgatavat heljumi kandumist sadama akvatooriumist välja, siis tööd peatatakse, sest seda mõjutavad veel lisaks tuule kiirusele ka hoovuse suund ja tugevus. Lisaks määrab tuule tugevus ära ka süvendusvahendite kasutamise ohutuse. Tuule kiirus 10 m/s akvatooriumi avaosas on piir, millest suurema tuulega ei ole mereohutuse seisukohalt võimalik süvendus- ja </w:t>
      </w:r>
      <w:proofErr w:type="spellStart"/>
      <w:r>
        <w:t>kaadamistöid</w:t>
      </w:r>
      <w:proofErr w:type="spellEnd"/>
      <w:r>
        <w:t xml:space="preserve"> teha. Sisebasseinis on selliseks tuule piirkiiruseks 15 m/s.</w:t>
      </w:r>
    </w:p>
    <w:p w14:paraId="4E4D7833" w14:textId="7AD75BE0" w:rsidR="009C411B" w:rsidRDefault="009C411B" w:rsidP="00C42B9D">
      <w:pPr>
        <w:pStyle w:val="Loendilik"/>
        <w:numPr>
          <w:ilvl w:val="0"/>
          <w:numId w:val="3"/>
        </w:numPr>
        <w:jc w:val="both"/>
      </w:pPr>
      <w:r>
        <w:t>Selleks, et vähendada võimalikku mõju kalastikule, ei ole soovitav teha süvendustöid kalade kudemisajal (et vältida kalade, marja ja noorjärkude hukkumist).</w:t>
      </w:r>
    </w:p>
    <w:p w14:paraId="0D091B3D" w14:textId="39F7B6FA" w:rsidR="009C411B" w:rsidRDefault="009C411B" w:rsidP="00C42B9D">
      <w:pPr>
        <w:pStyle w:val="Loendilik"/>
        <w:numPr>
          <w:ilvl w:val="0"/>
          <w:numId w:val="3"/>
        </w:numPr>
        <w:jc w:val="both"/>
      </w:pPr>
      <w:r>
        <w:t>Ehitustöödel tuleb järgida kehtivaid õigusakte, vältida merepõhja reostamist ehitusprahiga, jälgida ehitusmehhanismide tehnilist korrasolekut, et hoida ära võimalikke lekkeid.</w:t>
      </w:r>
    </w:p>
    <w:p w14:paraId="70289118" w14:textId="21E933AD" w:rsidR="009C411B" w:rsidRDefault="009C411B" w:rsidP="00C42B9D">
      <w:pPr>
        <w:pStyle w:val="Loendilik"/>
        <w:numPr>
          <w:ilvl w:val="0"/>
          <w:numId w:val="3"/>
        </w:numPr>
        <w:jc w:val="both"/>
      </w:pPr>
      <w:r>
        <w:t xml:space="preserve">Ehitusaegse lammutus-, ehitus- ja süvendustööde tegemise ajal peab ehitustööde läbiviija vältima sadama naabruses asuvatel elamualadel normatiivse mürataseme ületamist ning vältima öisel ajal materjalide vedusid ja mürarikkaid lammutustöid. </w:t>
      </w:r>
      <w:r w:rsidRPr="009C411B">
        <w:t>Impulssmüra põhjustavat tööd teha tööpäevadel kella 07.00-19.00.</w:t>
      </w:r>
    </w:p>
    <w:p w14:paraId="5F961AF5" w14:textId="70ECEE3E" w:rsidR="009C411B" w:rsidRDefault="009C411B" w:rsidP="00C42B9D">
      <w:pPr>
        <w:pStyle w:val="Loendilik"/>
        <w:numPr>
          <w:ilvl w:val="0"/>
          <w:numId w:val="3"/>
        </w:numPr>
        <w:jc w:val="both"/>
      </w:pPr>
      <w:r w:rsidRPr="009C411B">
        <w:t xml:space="preserve">Enne </w:t>
      </w:r>
      <w:proofErr w:type="spellStart"/>
      <w:r w:rsidRPr="009C411B">
        <w:t>kaadamistöid</w:t>
      </w:r>
      <w:proofErr w:type="spellEnd"/>
      <w:r w:rsidRPr="009C411B">
        <w:t xml:space="preserve"> tuleb settematerjalist võtta täiendavad setteproovid vastavalt HELCOM juhendile, kuna veekogumi seire viitab ohtlike ainete sisaldusele piirkonna setetes.</w:t>
      </w:r>
    </w:p>
    <w:p w14:paraId="79EB8069" w14:textId="77777777" w:rsidR="00990D0D" w:rsidRDefault="00990D0D" w:rsidP="00C42B9D">
      <w:pPr>
        <w:jc w:val="both"/>
      </w:pPr>
    </w:p>
    <w:p w14:paraId="1517C66B" w14:textId="6C2677D2" w:rsidR="00990D0D" w:rsidRDefault="00990D0D" w:rsidP="00C42B9D">
      <w:pPr>
        <w:jc w:val="both"/>
      </w:pPr>
      <w:r>
        <w:t>TTJA nõustub KMH eelhinnangu järeldustega, mille kohaselt</w:t>
      </w:r>
      <w:r w:rsidR="00CC5F95">
        <w:t xml:space="preserve"> keskkonnamõju hindamise algatamine ei ole vajalik, sest</w:t>
      </w:r>
      <w:r w:rsidR="00CC5F95" w:rsidRPr="00EB28AD">
        <w:t xml:space="preserve"> 2007. aastal koostatud KMH on piisavalt informatiivne ja</w:t>
      </w:r>
      <w:r w:rsidR="00CC5F95">
        <w:t xml:space="preserve"> </w:t>
      </w:r>
      <w:r w:rsidR="00CC5F95" w:rsidRPr="00EB28AD">
        <w:t>eelhinnangu koostamise ajal asjakohane.</w:t>
      </w:r>
      <w:r>
        <w:t xml:space="preserve"> Seetõttu puudub ka vajadus algatada KMH menetlus. </w:t>
      </w:r>
    </w:p>
    <w:p w14:paraId="4C23ABFF" w14:textId="77777777" w:rsidR="00990D0D" w:rsidRDefault="00990D0D" w:rsidP="00C42B9D">
      <w:pPr>
        <w:jc w:val="both"/>
      </w:pPr>
    </w:p>
    <w:p w14:paraId="0F8A2729" w14:textId="77777777" w:rsidR="00990D0D" w:rsidRDefault="00990D0D" w:rsidP="00C42B9D">
      <w:pPr>
        <w:jc w:val="both"/>
      </w:pPr>
      <w:r>
        <w:t xml:space="preserve">Piiriülest keskkonnamõju hindamist ei algatata, samuti ei liideta KMH menetlusi </w:t>
      </w:r>
      <w:proofErr w:type="spellStart"/>
      <w:r>
        <w:t>KeHJS</w:t>
      </w:r>
      <w:proofErr w:type="spellEnd"/>
      <w:r>
        <w:t xml:space="preserve"> mõistes.</w:t>
      </w:r>
    </w:p>
    <w:p w14:paraId="420D1B59" w14:textId="77777777" w:rsidR="00990D0D" w:rsidRDefault="00990D0D" w:rsidP="00C42B9D">
      <w:pPr>
        <w:jc w:val="both"/>
      </w:pPr>
    </w:p>
    <w:p w14:paraId="0BDEFBCE" w14:textId="03250A8B" w:rsidR="00990D0D" w:rsidRDefault="005D0D60" w:rsidP="00C42B9D">
      <w:pPr>
        <w:jc w:val="both"/>
      </w:pPr>
      <w:r>
        <w:t>tuginedes eeltoodule ning v</w:t>
      </w:r>
      <w:r w:rsidR="00990D0D">
        <w:t xml:space="preserve">õttes aluseks </w:t>
      </w:r>
      <w:proofErr w:type="spellStart"/>
      <w:r w:rsidR="00990D0D">
        <w:t>KeHJS</w:t>
      </w:r>
      <w:proofErr w:type="spellEnd"/>
      <w:r w:rsidR="00990D0D">
        <w:t xml:space="preserve"> § 6 lõike </w:t>
      </w:r>
      <w:r w:rsidR="00C42B9D">
        <w:t>1</w:t>
      </w:r>
      <w:r w:rsidR="00990D0D">
        <w:t xml:space="preserve"> punkti</w:t>
      </w:r>
      <w:r w:rsidR="00C42B9D">
        <w:t>d</w:t>
      </w:r>
      <w:r w:rsidR="00990D0D">
        <w:t xml:space="preserve"> </w:t>
      </w:r>
      <w:r w:rsidR="00C42B9D">
        <w:t>17 ja 17</w:t>
      </w:r>
      <w:r w:rsidR="00C42B9D">
        <w:rPr>
          <w:rFonts w:cstheme="minorHAnsi"/>
        </w:rPr>
        <w:t>¹</w:t>
      </w:r>
      <w:r w:rsidR="00990D0D">
        <w:t>,</w:t>
      </w:r>
      <w:r w:rsidR="00C42B9D">
        <w:t xml:space="preserve"> </w:t>
      </w:r>
      <w:r w:rsidR="00990D0D">
        <w:t xml:space="preserve">§ 11 lõiked </w:t>
      </w:r>
      <w:r w:rsidR="00D96790">
        <w:t>2</w:t>
      </w:r>
      <w:r w:rsidR="00D96790">
        <w:rPr>
          <w:rFonts w:cstheme="minorHAnsi"/>
        </w:rPr>
        <w:t>¹</w:t>
      </w:r>
      <w:r w:rsidR="00D96790">
        <w:t xml:space="preserve">, </w:t>
      </w:r>
      <w:r w:rsidR="00990D0D">
        <w:t xml:space="preserve">2², 2³, </w:t>
      </w:r>
      <w:r w:rsidR="00C42B9D">
        <w:t>6</w:t>
      </w:r>
      <w:r w:rsidR="00990D0D">
        <w:t xml:space="preserve"> ja 8, </w:t>
      </w:r>
      <w:r w:rsidR="00B018EA" w:rsidRPr="00B018EA">
        <w:t>OÜ E-Konsult</w:t>
      </w:r>
      <w:r w:rsidR="00B018EA">
        <w:t xml:space="preserve"> </w:t>
      </w:r>
      <w:r w:rsidR="00B018EA" w:rsidRPr="00B018EA">
        <w:t>poolt 2007. aastal läbi viidud keskkonnamõjude hindami</w:t>
      </w:r>
      <w:r w:rsidR="00B018EA">
        <w:t>s</w:t>
      </w:r>
      <w:r w:rsidR="00B018EA" w:rsidRPr="00B018EA">
        <w:t>e</w:t>
      </w:r>
      <w:r w:rsidR="00B018EA">
        <w:t xml:space="preserve"> aruandes </w:t>
      </w:r>
      <w:r w:rsidR="00B018EA" w:rsidRPr="00B018EA">
        <w:t>„Miinisadama akvatooriumis asuvate lainemurdjate rekonstrueerimisprojekti keskkonnamõju hindamine“</w:t>
      </w:r>
      <w:r w:rsidR="00B018EA">
        <w:t xml:space="preserve"> (</w:t>
      </w:r>
      <w:r w:rsidR="00B018EA" w:rsidRPr="00B018EA">
        <w:t>töö nr E1040</w:t>
      </w:r>
      <w:r w:rsidR="00B018EA">
        <w:t>)</w:t>
      </w:r>
      <w:r w:rsidR="00B018EA" w:rsidRPr="00B018EA">
        <w:t xml:space="preserve"> </w:t>
      </w:r>
      <w:r w:rsidR="00990D0D">
        <w:t xml:space="preserve">ning </w:t>
      </w:r>
      <w:r w:rsidR="00B018EA" w:rsidRPr="00B018EA">
        <w:t xml:space="preserve">Estonian, </w:t>
      </w:r>
      <w:proofErr w:type="spellStart"/>
      <w:r w:rsidR="00B018EA" w:rsidRPr="00B018EA">
        <w:t>Latvian</w:t>
      </w:r>
      <w:proofErr w:type="spellEnd"/>
      <w:r w:rsidR="00B018EA" w:rsidRPr="00B018EA">
        <w:t xml:space="preserve"> </w:t>
      </w:r>
      <w:r w:rsidR="00B018EA">
        <w:t>ja</w:t>
      </w:r>
      <w:r w:rsidR="00B018EA" w:rsidRPr="00B018EA">
        <w:t xml:space="preserve"> </w:t>
      </w:r>
      <w:proofErr w:type="spellStart"/>
      <w:r w:rsidR="00B018EA" w:rsidRPr="00B018EA">
        <w:t>Lithuanian</w:t>
      </w:r>
      <w:proofErr w:type="spellEnd"/>
      <w:r w:rsidR="00B018EA" w:rsidRPr="00B018EA">
        <w:t xml:space="preserve"> </w:t>
      </w:r>
      <w:proofErr w:type="spellStart"/>
      <w:r w:rsidR="00B018EA" w:rsidRPr="00B018EA">
        <w:t>Environment</w:t>
      </w:r>
      <w:proofErr w:type="spellEnd"/>
      <w:r w:rsidR="00B018EA" w:rsidRPr="00B018EA">
        <w:t xml:space="preserve"> OÜ (10705517, Toomas </w:t>
      </w:r>
      <w:proofErr w:type="spellStart"/>
      <w:r w:rsidR="00B018EA" w:rsidRPr="00B018EA">
        <w:t>Pallo</w:t>
      </w:r>
      <w:proofErr w:type="spellEnd"/>
      <w:r w:rsidR="00B018EA" w:rsidRPr="00B018EA">
        <w:t xml:space="preserve">, KMH litsents nr KMH0090) poolt koostatud </w:t>
      </w:r>
      <w:r w:rsidR="00B018EA">
        <w:t xml:space="preserve">keskkonnamõjude eelhinnangus </w:t>
      </w:r>
      <w:r w:rsidR="00B018EA" w:rsidRPr="00B018EA">
        <w:t>„Miinisadama akvatooriumis asuvate lainemurdjate rekonstrueerimise tegevustele keskkonnamõju hindamise eelhindamine</w:t>
      </w:r>
      <w:r w:rsidR="00B018EA">
        <w:t>“</w:t>
      </w:r>
      <w:r w:rsidR="00B018EA" w:rsidRPr="00B018EA">
        <w:t xml:space="preserve"> </w:t>
      </w:r>
      <w:r w:rsidR="00B018EA">
        <w:t>(</w:t>
      </w:r>
      <w:r w:rsidR="00B018EA" w:rsidRPr="00B018EA">
        <w:t>töö nr 24KK12</w:t>
      </w:r>
      <w:r w:rsidR="00B018EA">
        <w:t>)</w:t>
      </w:r>
      <w:r w:rsidR="00B018EA">
        <w:t xml:space="preserve"> </w:t>
      </w:r>
      <w:r w:rsidR="00B018EA" w:rsidRPr="00B018EA">
        <w:t xml:space="preserve"> </w:t>
      </w:r>
      <w:r w:rsidR="00990D0D">
        <w:t>tulenevad järeldused</w:t>
      </w:r>
    </w:p>
    <w:p w14:paraId="046EB27B" w14:textId="77777777" w:rsidR="00990D0D" w:rsidRDefault="00990D0D" w:rsidP="00C42B9D">
      <w:pPr>
        <w:jc w:val="both"/>
      </w:pPr>
    </w:p>
    <w:p w14:paraId="15BC7E57" w14:textId="07E8C6FE" w:rsidR="00990D0D" w:rsidRPr="00C42B9D" w:rsidRDefault="00990D0D" w:rsidP="00C42B9D">
      <w:pPr>
        <w:jc w:val="both"/>
        <w:rPr>
          <w:b/>
          <w:bCs/>
        </w:rPr>
      </w:pPr>
      <w:r w:rsidRPr="00C42B9D">
        <w:rPr>
          <w:b/>
          <w:bCs/>
        </w:rPr>
        <w:t>otsustan:</w:t>
      </w:r>
    </w:p>
    <w:p w14:paraId="3C01650D" w14:textId="47631703" w:rsidR="00876AED" w:rsidRPr="00C42B9D" w:rsidRDefault="00990D0D" w:rsidP="00C42B9D">
      <w:pPr>
        <w:jc w:val="both"/>
        <w:rPr>
          <w:b/>
          <w:bCs/>
        </w:rPr>
      </w:pPr>
      <w:r w:rsidRPr="00C42B9D">
        <w:rPr>
          <w:b/>
          <w:bCs/>
        </w:rPr>
        <w:t xml:space="preserve">jätta </w:t>
      </w:r>
      <w:r w:rsidR="00C42B9D" w:rsidRPr="00C42B9D">
        <w:rPr>
          <w:b/>
          <w:bCs/>
        </w:rPr>
        <w:t xml:space="preserve">Miinisadama rajatiste AH1, AH2, AH3 ja AH4 ehitusloa menetluses </w:t>
      </w:r>
      <w:r w:rsidRPr="00C42B9D">
        <w:rPr>
          <w:b/>
          <w:bCs/>
        </w:rPr>
        <w:t>keskkonnamõju hindamise algatamata.</w:t>
      </w:r>
    </w:p>
    <w:sectPr w:rsidR="00876AED" w:rsidRPr="00C42B9D">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CC69" w14:textId="77777777" w:rsidR="00CE51AD" w:rsidRDefault="00CE51AD" w:rsidP="00753609">
      <w:pPr>
        <w:spacing w:after="0" w:line="240" w:lineRule="auto"/>
      </w:pPr>
      <w:r>
        <w:separator/>
      </w:r>
    </w:p>
  </w:endnote>
  <w:endnote w:type="continuationSeparator" w:id="0">
    <w:p w14:paraId="2EDFE238" w14:textId="77777777" w:rsidR="00CE51AD" w:rsidRDefault="00CE51AD" w:rsidP="0075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58AD" w14:textId="77777777" w:rsidR="00CE51AD" w:rsidRDefault="00CE51AD" w:rsidP="00753609">
      <w:pPr>
        <w:spacing w:after="0" w:line="240" w:lineRule="auto"/>
      </w:pPr>
      <w:r>
        <w:separator/>
      </w:r>
    </w:p>
  </w:footnote>
  <w:footnote w:type="continuationSeparator" w:id="0">
    <w:p w14:paraId="0FCDFA58" w14:textId="77777777" w:rsidR="00CE51AD" w:rsidRDefault="00CE51AD" w:rsidP="00753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BEB8" w14:textId="67D45BE7" w:rsidR="00294C8A" w:rsidRDefault="00294C8A">
    <w:pPr>
      <w:pStyle w:val="Pis"/>
    </w:pPr>
    <w:r>
      <w:rPr>
        <w:noProof/>
      </w:rPr>
      <w:pict w14:anchorId="04A5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55672"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809E" w14:textId="51E0FD05" w:rsidR="00753609" w:rsidRDefault="00294C8A">
    <w:pPr>
      <w:pStyle w:val="Pis"/>
    </w:pPr>
    <w:r>
      <w:rPr>
        <w:noProof/>
      </w:rPr>
      <w:pict w14:anchorId="2E8F7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55673"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EELNÕU"/>
        </v:shape>
      </w:pict>
    </w:r>
    <w:r w:rsidR="00753609">
      <w:tab/>
    </w:r>
    <w:r w:rsidR="00753609">
      <w:tab/>
    </w:r>
    <w:r w:rsidR="00753609">
      <w:t>EELNÕU</w:t>
    </w:r>
  </w:p>
  <w:p w14:paraId="39312682" w14:textId="77777777" w:rsidR="00753609" w:rsidRDefault="0075360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F6DD" w14:textId="6FF8CFD7" w:rsidR="00294C8A" w:rsidRDefault="00294C8A">
    <w:pPr>
      <w:pStyle w:val="Pis"/>
    </w:pPr>
    <w:r>
      <w:rPr>
        <w:noProof/>
      </w:rPr>
      <w:pict w14:anchorId="45552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55671"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5A3"/>
    <w:multiLevelType w:val="hybridMultilevel"/>
    <w:tmpl w:val="BB22A9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A96615"/>
    <w:multiLevelType w:val="hybridMultilevel"/>
    <w:tmpl w:val="92649AA2"/>
    <w:lvl w:ilvl="0" w:tplc="D0947B38">
      <w:numFmt w:val="bullet"/>
      <w:lvlText w:val="•"/>
      <w:lvlJc w:val="left"/>
      <w:pPr>
        <w:ind w:left="1065" w:hanging="705"/>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741419D"/>
    <w:multiLevelType w:val="hybridMultilevel"/>
    <w:tmpl w:val="ACFCA9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49379582">
    <w:abstractNumId w:val="0"/>
  </w:num>
  <w:num w:numId="2" w16cid:durableId="1419980281">
    <w:abstractNumId w:val="1"/>
  </w:num>
  <w:num w:numId="3" w16cid:durableId="1481732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0D"/>
    <w:rsid w:val="001F63B8"/>
    <w:rsid w:val="00243A3F"/>
    <w:rsid w:val="00253D6A"/>
    <w:rsid w:val="00272766"/>
    <w:rsid w:val="00287203"/>
    <w:rsid w:val="00293A47"/>
    <w:rsid w:val="00294C8A"/>
    <w:rsid w:val="002C4B35"/>
    <w:rsid w:val="0030303B"/>
    <w:rsid w:val="003B44BE"/>
    <w:rsid w:val="003E4A41"/>
    <w:rsid w:val="0043661B"/>
    <w:rsid w:val="004C145C"/>
    <w:rsid w:val="004D48C3"/>
    <w:rsid w:val="005847A4"/>
    <w:rsid w:val="005D0D60"/>
    <w:rsid w:val="007006D8"/>
    <w:rsid w:val="00753609"/>
    <w:rsid w:val="007B162C"/>
    <w:rsid w:val="00876AED"/>
    <w:rsid w:val="008A0651"/>
    <w:rsid w:val="00990D0D"/>
    <w:rsid w:val="009B2EFD"/>
    <w:rsid w:val="009C411B"/>
    <w:rsid w:val="009F3EED"/>
    <w:rsid w:val="00A93575"/>
    <w:rsid w:val="00AF6737"/>
    <w:rsid w:val="00B018EA"/>
    <w:rsid w:val="00BD231A"/>
    <w:rsid w:val="00C42B9D"/>
    <w:rsid w:val="00C52188"/>
    <w:rsid w:val="00C65D1C"/>
    <w:rsid w:val="00CC5F95"/>
    <w:rsid w:val="00CE51AD"/>
    <w:rsid w:val="00D27F73"/>
    <w:rsid w:val="00D52C80"/>
    <w:rsid w:val="00D66755"/>
    <w:rsid w:val="00D771F5"/>
    <w:rsid w:val="00D96790"/>
    <w:rsid w:val="00DA322F"/>
    <w:rsid w:val="00E35115"/>
    <w:rsid w:val="00E65241"/>
    <w:rsid w:val="00E666E1"/>
    <w:rsid w:val="00EA69B1"/>
    <w:rsid w:val="00EB28AD"/>
    <w:rsid w:val="00EE1D3D"/>
    <w:rsid w:val="00F440BB"/>
    <w:rsid w:val="00F531E8"/>
    <w:rsid w:val="00FF1B2F"/>
    <w:rsid w:val="00FF60D6"/>
    <w:rsid w:val="00FF7F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E2A5"/>
  <w15:chartTrackingRefBased/>
  <w15:docId w15:val="{5938F9EC-4A96-4AD5-959E-93222D36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Redaktsioon">
    <w:name w:val="Revision"/>
    <w:hidden/>
    <w:uiPriority w:val="99"/>
    <w:semiHidden/>
    <w:rsid w:val="007B162C"/>
    <w:pPr>
      <w:spacing w:after="0" w:line="240" w:lineRule="auto"/>
    </w:pPr>
  </w:style>
  <w:style w:type="paragraph" w:styleId="Loendilik">
    <w:name w:val="List Paragraph"/>
    <w:basedOn w:val="Normaallaad"/>
    <w:uiPriority w:val="34"/>
    <w:qFormat/>
    <w:rsid w:val="00287203"/>
    <w:pPr>
      <w:ind w:left="720"/>
      <w:contextualSpacing/>
    </w:pPr>
  </w:style>
  <w:style w:type="character" w:styleId="Hperlink">
    <w:name w:val="Hyperlink"/>
    <w:basedOn w:val="Liguvaikefont"/>
    <w:uiPriority w:val="99"/>
    <w:unhideWhenUsed/>
    <w:rsid w:val="00272766"/>
    <w:rPr>
      <w:color w:val="0563C1" w:themeColor="hyperlink"/>
      <w:u w:val="single"/>
    </w:rPr>
  </w:style>
  <w:style w:type="character" w:styleId="Lahendamatamainimine">
    <w:name w:val="Unresolved Mention"/>
    <w:basedOn w:val="Liguvaikefont"/>
    <w:uiPriority w:val="99"/>
    <w:semiHidden/>
    <w:unhideWhenUsed/>
    <w:rsid w:val="00272766"/>
    <w:rPr>
      <w:color w:val="605E5C"/>
      <w:shd w:val="clear" w:color="auto" w:fill="E1DFDD"/>
    </w:rPr>
  </w:style>
  <w:style w:type="paragraph" w:styleId="Pis">
    <w:name w:val="header"/>
    <w:basedOn w:val="Normaallaad"/>
    <w:link w:val="PisMrk"/>
    <w:uiPriority w:val="99"/>
    <w:unhideWhenUsed/>
    <w:rsid w:val="00753609"/>
    <w:pPr>
      <w:tabs>
        <w:tab w:val="center" w:pos="4536"/>
        <w:tab w:val="right" w:pos="9072"/>
      </w:tabs>
      <w:spacing w:after="0" w:line="240" w:lineRule="auto"/>
    </w:pPr>
  </w:style>
  <w:style w:type="character" w:customStyle="1" w:styleId="PisMrk">
    <w:name w:val="Päis Märk"/>
    <w:basedOn w:val="Liguvaikefont"/>
    <w:link w:val="Pis"/>
    <w:uiPriority w:val="99"/>
    <w:rsid w:val="00753609"/>
  </w:style>
  <w:style w:type="paragraph" w:styleId="Jalus">
    <w:name w:val="footer"/>
    <w:basedOn w:val="Normaallaad"/>
    <w:link w:val="JalusMrk"/>
    <w:uiPriority w:val="99"/>
    <w:unhideWhenUsed/>
    <w:rsid w:val="00753609"/>
    <w:pPr>
      <w:tabs>
        <w:tab w:val="center" w:pos="4536"/>
        <w:tab w:val="right" w:pos="9072"/>
      </w:tabs>
      <w:spacing w:after="0" w:line="240" w:lineRule="auto"/>
    </w:pPr>
  </w:style>
  <w:style w:type="character" w:customStyle="1" w:styleId="JalusMrk">
    <w:name w:val="Jalus Märk"/>
    <w:basedOn w:val="Liguvaikefont"/>
    <w:link w:val="Jalus"/>
    <w:uiPriority w:val="99"/>
    <w:rsid w:val="00753609"/>
  </w:style>
  <w:style w:type="character" w:styleId="Kommentaariviide">
    <w:name w:val="annotation reference"/>
    <w:basedOn w:val="Liguvaikefont"/>
    <w:uiPriority w:val="99"/>
    <w:semiHidden/>
    <w:unhideWhenUsed/>
    <w:rsid w:val="00EA69B1"/>
    <w:rPr>
      <w:sz w:val="16"/>
      <w:szCs w:val="16"/>
    </w:rPr>
  </w:style>
  <w:style w:type="paragraph" w:styleId="Kommentaaritekst">
    <w:name w:val="annotation text"/>
    <w:basedOn w:val="Normaallaad"/>
    <w:link w:val="KommentaaritekstMrk"/>
    <w:uiPriority w:val="99"/>
    <w:unhideWhenUsed/>
    <w:rsid w:val="00EA69B1"/>
    <w:pPr>
      <w:spacing w:line="240" w:lineRule="auto"/>
    </w:pPr>
    <w:rPr>
      <w:sz w:val="20"/>
      <w:szCs w:val="20"/>
    </w:rPr>
  </w:style>
  <w:style w:type="character" w:customStyle="1" w:styleId="KommentaaritekstMrk">
    <w:name w:val="Kommentaari tekst Märk"/>
    <w:basedOn w:val="Liguvaikefont"/>
    <w:link w:val="Kommentaaritekst"/>
    <w:uiPriority w:val="99"/>
    <w:rsid w:val="00EA69B1"/>
    <w:rPr>
      <w:sz w:val="20"/>
      <w:szCs w:val="20"/>
    </w:rPr>
  </w:style>
  <w:style w:type="paragraph" w:styleId="Kommentaariteema">
    <w:name w:val="annotation subject"/>
    <w:basedOn w:val="Kommentaaritekst"/>
    <w:next w:val="Kommentaaritekst"/>
    <w:link w:val="KommentaariteemaMrk"/>
    <w:uiPriority w:val="99"/>
    <w:semiHidden/>
    <w:unhideWhenUsed/>
    <w:rsid w:val="00EA69B1"/>
    <w:rPr>
      <w:b/>
      <w:bCs/>
    </w:rPr>
  </w:style>
  <w:style w:type="character" w:customStyle="1" w:styleId="KommentaariteemaMrk">
    <w:name w:val="Kommentaari teema Märk"/>
    <w:basedOn w:val="KommentaaritekstMrk"/>
    <w:link w:val="Kommentaariteema"/>
    <w:uiPriority w:val="99"/>
    <w:semiHidden/>
    <w:rsid w:val="00EA69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tj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1600</Words>
  <Characters>9284</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Allmaa</dc:creator>
  <cp:keywords/>
  <dc:description/>
  <cp:lastModifiedBy>Maarja Allmaa</cp:lastModifiedBy>
  <cp:revision>3</cp:revision>
  <dcterms:created xsi:type="dcterms:W3CDTF">2024-06-04T14:45:00Z</dcterms:created>
  <dcterms:modified xsi:type="dcterms:W3CDTF">2024-06-04T14:45:00Z</dcterms:modified>
</cp:coreProperties>
</file>